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627E7" w14:textId="77777777"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FB1416">
        <w:rPr>
          <w:rFonts w:ascii="Arial" w:hAnsi="Arial" w:cs="Arial"/>
          <w:b/>
          <w:bCs/>
          <w:sz w:val="22"/>
        </w:rPr>
        <w:t>#9</w:t>
      </w:r>
      <w:r w:rsidR="0049165A">
        <w:rPr>
          <w:rFonts w:ascii="Arial" w:hAnsi="Arial" w:cs="Arial"/>
          <w:b/>
          <w:bCs/>
          <w:sz w:val="22"/>
        </w:rPr>
        <w:t>5</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E732B6" w:rsidRPr="00E732B6">
        <w:rPr>
          <w:rFonts w:ascii="Arial" w:hAnsi="Arial" w:cs="Arial"/>
          <w:b/>
          <w:bCs/>
          <w:sz w:val="22"/>
        </w:rPr>
        <w:t>18</w:t>
      </w:r>
      <w:r w:rsidR="00325629">
        <w:rPr>
          <w:rFonts w:ascii="Arial" w:hAnsi="Arial" w:cs="Arial"/>
          <w:b/>
          <w:bCs/>
          <w:sz w:val="22"/>
        </w:rPr>
        <w:t>1</w:t>
      </w:r>
      <w:r w:rsidR="0049165A">
        <w:rPr>
          <w:rFonts w:ascii="Arial" w:hAnsi="Arial" w:cs="Arial"/>
          <w:b/>
          <w:bCs/>
          <w:sz w:val="22"/>
        </w:rPr>
        <w:t>3272</w:t>
      </w:r>
    </w:p>
    <w:p w14:paraId="6875BA82" w14:textId="77777777" w:rsidR="00FB1416" w:rsidRDefault="0049165A" w:rsidP="002A2F25">
      <w:pPr>
        <w:rPr>
          <w:rFonts w:ascii="Arial" w:hAnsi="Arial" w:cs="Arial"/>
          <w:b/>
          <w:bCs/>
          <w:sz w:val="22"/>
        </w:rPr>
      </w:pPr>
      <w:r>
        <w:rPr>
          <w:rFonts w:ascii="Arial" w:hAnsi="Arial" w:cs="Arial"/>
          <w:b/>
          <w:bCs/>
          <w:sz w:val="22"/>
        </w:rPr>
        <w:t>Spokane, United States, November 12-16, 2018</w:t>
      </w:r>
    </w:p>
    <w:p w14:paraId="0780F528" w14:textId="77777777" w:rsidR="00683AFF" w:rsidRDefault="00683AFF" w:rsidP="002A2F25">
      <w:pPr>
        <w:rPr>
          <w:rFonts w:ascii="Arial" w:hAnsi="Arial" w:cs="Arial"/>
        </w:rPr>
      </w:pPr>
    </w:p>
    <w:p w14:paraId="7949B088" w14:textId="77777777"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49165A" w:rsidRPr="00D00CD3">
        <w:rPr>
          <w:rFonts w:ascii="Arial" w:hAnsi="Arial" w:cs="Arial"/>
          <w:b/>
        </w:rPr>
        <w:t>Draft</w:t>
      </w:r>
      <w:r w:rsidR="0049165A" w:rsidRPr="0049165A">
        <w:rPr>
          <w:rFonts w:ascii="Arial" w:hAnsi="Arial" w:cs="Arial"/>
          <w:b/>
        </w:rPr>
        <w:t xml:space="preserve"> reply to LS on MIMO layer configuration</w:t>
      </w:r>
    </w:p>
    <w:p w14:paraId="1B0649AB" w14:textId="77777777"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49165A" w:rsidRPr="0049165A">
        <w:rPr>
          <w:rFonts w:ascii="Arial" w:eastAsia="Times New Roman" w:hAnsi="Arial" w:cs="Arial"/>
          <w:bCs/>
        </w:rPr>
        <w:t>R1-1812166</w:t>
      </w:r>
      <w:r w:rsidR="0049165A" w:rsidRPr="0049165A">
        <w:rPr>
          <w:rFonts w:ascii="Arial" w:hAnsi="Arial" w:cs="Arial"/>
          <w:bCs/>
        </w:rPr>
        <w:t xml:space="preserve"> </w:t>
      </w:r>
      <w:r w:rsidR="00683AFF">
        <w:rPr>
          <w:rFonts w:ascii="Arial" w:hAnsi="Arial" w:cs="Arial"/>
          <w:bCs/>
        </w:rPr>
        <w:t>(</w:t>
      </w:r>
      <w:r w:rsidR="0049165A" w:rsidRPr="0049165A">
        <w:rPr>
          <w:rFonts w:ascii="Arial" w:hAnsi="Arial" w:cs="Arial"/>
          <w:bCs/>
        </w:rPr>
        <w:t>R2-1816065</w:t>
      </w:r>
      <w:r w:rsidR="00683AFF">
        <w:rPr>
          <w:rFonts w:ascii="Arial" w:hAnsi="Arial" w:cs="Arial"/>
          <w:bCs/>
        </w:rPr>
        <w:t>)</w:t>
      </w:r>
    </w:p>
    <w:p w14:paraId="5B44ED20" w14:textId="77777777"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14:paraId="7E49D3D1" w14:textId="77777777"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14:paraId="714FE80B" w14:textId="77777777" w:rsidR="00602A6B" w:rsidRDefault="00602A6B">
      <w:pPr>
        <w:spacing w:after="60"/>
        <w:ind w:left="1985" w:hanging="1985"/>
        <w:rPr>
          <w:rFonts w:ascii="Arial" w:hAnsi="Arial" w:cs="Arial"/>
          <w:b/>
        </w:rPr>
      </w:pPr>
    </w:p>
    <w:p w14:paraId="2185D639" w14:textId="77777777" w:rsidR="00602A6B" w:rsidRPr="00D00CD3"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49165A" w:rsidRPr="00D00CD3">
        <w:rPr>
          <w:rFonts w:ascii="Arial" w:hAnsi="Arial" w:cs="Arial"/>
          <w:bCs/>
        </w:rPr>
        <w:t>Ericsson</w:t>
      </w:r>
      <w:r w:rsidR="00EE6084" w:rsidRPr="00D00CD3">
        <w:rPr>
          <w:rFonts w:ascii="Arial" w:hAnsi="Arial" w:cs="Arial"/>
          <w:bCs/>
        </w:rPr>
        <w:t xml:space="preserve"> [</w:t>
      </w:r>
      <w:r w:rsidR="00FE68B4" w:rsidRPr="00D00CD3">
        <w:rPr>
          <w:rFonts w:ascii="Arial" w:hAnsi="Arial" w:cs="Arial"/>
          <w:bCs/>
        </w:rPr>
        <w:t>R</w:t>
      </w:r>
      <w:r w:rsidR="00EB318F" w:rsidRPr="00D00CD3">
        <w:rPr>
          <w:rFonts w:ascii="Arial" w:hAnsi="Arial" w:cs="Arial"/>
          <w:bCs/>
        </w:rPr>
        <w:t>AN1</w:t>
      </w:r>
      <w:r w:rsidR="00EE6084" w:rsidRPr="00D00CD3">
        <w:rPr>
          <w:rFonts w:ascii="Arial" w:hAnsi="Arial" w:cs="Arial"/>
          <w:bCs/>
        </w:rPr>
        <w:t>]</w:t>
      </w:r>
    </w:p>
    <w:p w14:paraId="267815A9" w14:textId="77777777" w:rsidR="00602A6B" w:rsidRPr="00D00CD3" w:rsidRDefault="00602A6B">
      <w:pPr>
        <w:spacing w:after="60"/>
        <w:ind w:left="1985" w:hanging="1985"/>
        <w:rPr>
          <w:rFonts w:ascii="Arial" w:hAnsi="Arial" w:cs="Arial"/>
          <w:bCs/>
        </w:rPr>
      </w:pPr>
      <w:r w:rsidRPr="00D00CD3">
        <w:rPr>
          <w:rFonts w:ascii="Arial" w:hAnsi="Arial" w:cs="Arial"/>
          <w:b/>
        </w:rPr>
        <w:t>To:</w:t>
      </w:r>
      <w:r w:rsidRPr="00D00CD3">
        <w:rPr>
          <w:rFonts w:ascii="Arial" w:hAnsi="Arial" w:cs="Arial"/>
          <w:bCs/>
        </w:rPr>
        <w:tab/>
      </w:r>
      <w:r w:rsidR="004155CD" w:rsidRPr="00D00CD3">
        <w:rPr>
          <w:rFonts w:ascii="Arial" w:hAnsi="Arial" w:cs="Arial"/>
          <w:bCs/>
        </w:rPr>
        <w:t>RAN2</w:t>
      </w:r>
    </w:p>
    <w:p w14:paraId="67E3BCC6" w14:textId="77777777" w:rsidR="00602A6B" w:rsidRPr="00D00CD3" w:rsidRDefault="00602A6B">
      <w:pPr>
        <w:spacing w:after="60"/>
        <w:ind w:left="1985" w:hanging="1985"/>
        <w:rPr>
          <w:rFonts w:ascii="Arial" w:hAnsi="Arial" w:cs="Arial"/>
          <w:bCs/>
        </w:rPr>
      </w:pPr>
      <w:r w:rsidRPr="00D00CD3">
        <w:rPr>
          <w:rFonts w:ascii="Arial" w:hAnsi="Arial" w:cs="Arial"/>
          <w:b/>
        </w:rPr>
        <w:t>Cc:</w:t>
      </w:r>
      <w:r w:rsidRPr="00D00CD3">
        <w:rPr>
          <w:rFonts w:ascii="Arial" w:hAnsi="Arial" w:cs="Arial"/>
          <w:bCs/>
        </w:rPr>
        <w:tab/>
      </w:r>
      <w:r w:rsidR="00857A60" w:rsidRPr="00D00CD3">
        <w:rPr>
          <w:rFonts w:ascii="Arial" w:hAnsi="Arial" w:cs="Arial"/>
          <w:bCs/>
        </w:rPr>
        <w:t>RAN4</w:t>
      </w:r>
    </w:p>
    <w:p w14:paraId="26CDE39A" w14:textId="77777777" w:rsidR="00602A6B" w:rsidRPr="00D00CD3" w:rsidRDefault="00602A6B">
      <w:pPr>
        <w:spacing w:after="60"/>
        <w:ind w:left="1985" w:hanging="1985"/>
        <w:rPr>
          <w:rFonts w:ascii="Arial" w:hAnsi="Arial" w:cs="Arial"/>
          <w:bCs/>
        </w:rPr>
      </w:pPr>
    </w:p>
    <w:p w14:paraId="43A16575" w14:textId="77777777" w:rsidR="00602A6B" w:rsidRPr="00D00CD3" w:rsidRDefault="00602A6B">
      <w:pPr>
        <w:tabs>
          <w:tab w:val="left" w:pos="2268"/>
        </w:tabs>
        <w:rPr>
          <w:rFonts w:ascii="Arial" w:hAnsi="Arial" w:cs="Arial"/>
          <w:bCs/>
        </w:rPr>
      </w:pPr>
      <w:r w:rsidRPr="00D00CD3">
        <w:rPr>
          <w:rFonts w:ascii="Arial" w:hAnsi="Arial" w:cs="Arial"/>
          <w:b/>
        </w:rPr>
        <w:t>Contact Person:</w:t>
      </w:r>
      <w:r w:rsidRPr="00D00CD3">
        <w:rPr>
          <w:rFonts w:ascii="Arial" w:hAnsi="Arial" w:cs="Arial"/>
          <w:bCs/>
        </w:rPr>
        <w:tab/>
      </w:r>
    </w:p>
    <w:p w14:paraId="21BE2388" w14:textId="77777777" w:rsidR="00602A6B" w:rsidRPr="00D00CD3" w:rsidRDefault="00602A6B">
      <w:pPr>
        <w:pStyle w:val="Heading4"/>
        <w:tabs>
          <w:tab w:val="left" w:pos="2268"/>
        </w:tabs>
        <w:ind w:left="567"/>
        <w:rPr>
          <w:rFonts w:cs="Arial"/>
          <w:b w:val="0"/>
          <w:bCs/>
        </w:rPr>
      </w:pPr>
      <w:r w:rsidRPr="00D00CD3">
        <w:rPr>
          <w:rFonts w:cs="Arial"/>
        </w:rPr>
        <w:t>Name:</w:t>
      </w:r>
      <w:r w:rsidRPr="00D00CD3">
        <w:rPr>
          <w:rFonts w:cs="Arial"/>
          <w:b w:val="0"/>
          <w:bCs/>
        </w:rPr>
        <w:tab/>
      </w:r>
      <w:r w:rsidR="0049165A" w:rsidRPr="00D00CD3">
        <w:rPr>
          <w:rFonts w:cs="Arial"/>
          <w:b w:val="0"/>
          <w:bCs/>
        </w:rPr>
        <w:t>Mattias Frenne</w:t>
      </w:r>
    </w:p>
    <w:p w14:paraId="1665CCB6" w14:textId="77777777" w:rsidR="00602A6B" w:rsidRPr="00D00CD3" w:rsidRDefault="00602A6B">
      <w:pPr>
        <w:pStyle w:val="Heading7"/>
        <w:tabs>
          <w:tab w:val="left" w:pos="2268"/>
        </w:tabs>
        <w:ind w:left="567"/>
        <w:rPr>
          <w:rFonts w:cs="Arial"/>
          <w:b w:val="0"/>
          <w:bCs/>
          <w:color w:val="auto"/>
          <w:lang w:val="it-IT"/>
        </w:rPr>
      </w:pPr>
      <w:r w:rsidRPr="00D00CD3">
        <w:rPr>
          <w:rFonts w:cs="Arial"/>
          <w:lang w:val="it-IT"/>
        </w:rPr>
        <w:t>E-mail Address:</w:t>
      </w:r>
      <w:r w:rsidRPr="00D00CD3">
        <w:rPr>
          <w:rFonts w:cs="Arial"/>
          <w:b w:val="0"/>
          <w:bCs/>
          <w:lang w:val="it-IT"/>
        </w:rPr>
        <w:tab/>
      </w:r>
      <w:r w:rsidR="0049165A" w:rsidRPr="00D00CD3">
        <w:rPr>
          <w:rFonts w:cs="Arial"/>
          <w:b w:val="0"/>
          <w:bCs/>
          <w:color w:val="auto"/>
          <w:lang w:val="it-IT"/>
        </w:rPr>
        <w:t>mattias.frenne</w:t>
      </w:r>
      <w:r w:rsidR="009D4EF9" w:rsidRPr="00D00CD3">
        <w:rPr>
          <w:rFonts w:cs="Arial"/>
          <w:b w:val="0"/>
          <w:bCs/>
          <w:color w:val="auto"/>
          <w:lang w:val="it-IT"/>
        </w:rPr>
        <w:t xml:space="preserve"> (at) </w:t>
      </w:r>
      <w:r w:rsidR="0049165A" w:rsidRPr="00D00CD3">
        <w:rPr>
          <w:rFonts w:cs="Arial"/>
          <w:b w:val="0"/>
          <w:bCs/>
          <w:color w:val="auto"/>
          <w:lang w:val="it-IT"/>
        </w:rPr>
        <w:t>ericsson</w:t>
      </w:r>
      <w:r w:rsidR="009D4EF9" w:rsidRPr="00D00CD3">
        <w:rPr>
          <w:rFonts w:cs="Arial"/>
          <w:b w:val="0"/>
          <w:bCs/>
          <w:color w:val="auto"/>
          <w:lang w:val="it-IT"/>
        </w:rPr>
        <w:t xml:space="preserve"> (dot) com</w:t>
      </w:r>
    </w:p>
    <w:p w14:paraId="5A6B0D59" w14:textId="77777777" w:rsidR="00602A6B" w:rsidRPr="00D00CD3" w:rsidRDefault="00602A6B">
      <w:pPr>
        <w:spacing w:after="60"/>
        <w:ind w:left="1985" w:hanging="1985"/>
        <w:rPr>
          <w:rFonts w:ascii="Arial" w:hAnsi="Arial" w:cs="Arial"/>
          <w:b/>
          <w:lang w:val="it-IT"/>
        </w:rPr>
      </w:pPr>
    </w:p>
    <w:p w14:paraId="57EC081E" w14:textId="77777777" w:rsidR="00602A6B" w:rsidRPr="00D00CD3" w:rsidRDefault="00602A6B">
      <w:pPr>
        <w:spacing w:after="60"/>
        <w:ind w:left="1985" w:hanging="1985"/>
        <w:rPr>
          <w:rFonts w:ascii="Arial" w:hAnsi="Arial" w:cs="Arial"/>
          <w:lang w:eastAsia="ja-JP"/>
        </w:rPr>
      </w:pPr>
      <w:r w:rsidRPr="00D00CD3">
        <w:rPr>
          <w:rFonts w:ascii="Arial" w:hAnsi="Arial" w:cs="Arial"/>
          <w:b/>
        </w:rPr>
        <w:t>Attachments:</w:t>
      </w:r>
      <w:r w:rsidRPr="00D00CD3">
        <w:rPr>
          <w:rFonts w:ascii="Arial" w:hAnsi="Arial" w:cs="Arial"/>
          <w:bCs/>
        </w:rPr>
        <w:tab/>
      </w:r>
      <w:r w:rsidR="0049165A" w:rsidRPr="00D00CD3">
        <w:rPr>
          <w:rFonts w:ascii="Arial" w:hAnsi="Arial" w:cs="Arial"/>
          <w:bCs/>
        </w:rPr>
        <w:t>None</w:t>
      </w:r>
    </w:p>
    <w:p w14:paraId="1500393F" w14:textId="77777777" w:rsidR="00602A6B" w:rsidRPr="00D00CD3" w:rsidRDefault="00602A6B">
      <w:pPr>
        <w:pBdr>
          <w:bottom w:val="single" w:sz="4" w:space="1" w:color="auto"/>
        </w:pBdr>
        <w:rPr>
          <w:rFonts w:ascii="Arial" w:hAnsi="Arial" w:cs="Arial"/>
        </w:rPr>
      </w:pPr>
    </w:p>
    <w:p w14:paraId="44A0F144" w14:textId="77777777" w:rsidR="00602A6B" w:rsidRPr="00D00CD3" w:rsidRDefault="00602A6B">
      <w:pPr>
        <w:rPr>
          <w:rFonts w:ascii="Arial" w:hAnsi="Arial" w:cs="Arial"/>
        </w:rPr>
      </w:pPr>
    </w:p>
    <w:p w14:paraId="6D548D33" w14:textId="77777777" w:rsidR="00602A6B" w:rsidRPr="00D00CD3" w:rsidRDefault="00602A6B">
      <w:pPr>
        <w:spacing w:after="120"/>
        <w:rPr>
          <w:rFonts w:ascii="Arial" w:hAnsi="Arial" w:cs="Arial"/>
          <w:b/>
        </w:rPr>
      </w:pPr>
      <w:r w:rsidRPr="00D00CD3">
        <w:rPr>
          <w:rFonts w:ascii="Arial" w:hAnsi="Arial" w:cs="Arial"/>
          <w:b/>
        </w:rPr>
        <w:t>1. Overall Description:</w:t>
      </w:r>
    </w:p>
    <w:p w14:paraId="5FB9D303" w14:textId="77777777" w:rsidR="00DF4C2A" w:rsidRPr="00D00CD3" w:rsidRDefault="00DF4C2A" w:rsidP="00DF4C2A">
      <w:pPr>
        <w:rPr>
          <w:rFonts w:ascii="Arial" w:hAnsi="Arial" w:cs="Arial"/>
        </w:rPr>
      </w:pPr>
    </w:p>
    <w:p w14:paraId="76E11319" w14:textId="77777777" w:rsidR="00424D93" w:rsidRPr="00D00CD3" w:rsidRDefault="00424D93" w:rsidP="00DF4C2A">
      <w:pPr>
        <w:rPr>
          <w:rFonts w:ascii="Arial" w:hAnsi="Arial" w:cs="Arial"/>
        </w:rPr>
      </w:pPr>
      <w:r w:rsidRPr="00D00CD3">
        <w:rPr>
          <w:rFonts w:ascii="Arial" w:hAnsi="Arial" w:cs="Arial"/>
        </w:rPr>
        <w:t xml:space="preserve">RAN1 would like to provide response to </w:t>
      </w:r>
      <w:r w:rsidR="00821ECE" w:rsidRPr="00D00CD3">
        <w:rPr>
          <w:rFonts w:ascii="Arial" w:hAnsi="Arial" w:cs="Arial"/>
        </w:rPr>
        <w:t xml:space="preserve">the five </w:t>
      </w:r>
      <w:r w:rsidRPr="00D00CD3">
        <w:rPr>
          <w:rFonts w:ascii="Arial" w:hAnsi="Arial" w:cs="Arial"/>
        </w:rPr>
        <w:t xml:space="preserve">questions asked regarding </w:t>
      </w:r>
      <w:r w:rsidR="00821ECE" w:rsidRPr="00D00CD3">
        <w:rPr>
          <w:rFonts w:ascii="Arial" w:hAnsi="Arial" w:cs="Arial"/>
        </w:rPr>
        <w:t>the maximum MIMO layer configuration.</w:t>
      </w:r>
    </w:p>
    <w:p w14:paraId="33A68D56" w14:textId="77777777" w:rsidR="00424D93" w:rsidRPr="00D00CD3" w:rsidRDefault="00424D93" w:rsidP="00DF4C2A">
      <w:pPr>
        <w:rPr>
          <w:rFonts w:ascii="Arial" w:hAnsi="Arial" w:cs="Arial"/>
        </w:rPr>
      </w:pPr>
    </w:p>
    <w:p w14:paraId="1788DB69" w14:textId="77777777" w:rsidR="000C31F6" w:rsidRPr="00D00CD3" w:rsidRDefault="000C31F6" w:rsidP="000C31F6">
      <w:pPr>
        <w:ind w:left="1440" w:hanging="720"/>
        <w:rPr>
          <w:rFonts w:ascii="Arial" w:hAnsi="Arial" w:cs="Arial"/>
        </w:rPr>
      </w:pPr>
      <w:r w:rsidRPr="00D00CD3">
        <w:rPr>
          <w:rFonts w:ascii="Arial" w:hAnsi="Arial" w:cs="Arial"/>
          <w:b/>
        </w:rPr>
        <w:t>Q1:</w:t>
      </w:r>
      <w:r w:rsidRPr="00D00CD3">
        <w:rPr>
          <w:rFonts w:ascii="Arial" w:hAnsi="Arial" w:cs="Arial"/>
        </w:rPr>
        <w:tab/>
        <w:t>Is the NW meant to configure the maximum number of MIMO layers (for PUSCH and PDSCH) by means of RRC signalling so UE can determine the maximum number MIMO layers per serving cell (as it was the case in LTE)?</w:t>
      </w:r>
    </w:p>
    <w:p w14:paraId="78560356" w14:textId="77777777" w:rsidR="00D4750E" w:rsidRPr="00D00CD3" w:rsidRDefault="00D4750E" w:rsidP="000C31F6">
      <w:pPr>
        <w:ind w:left="1440" w:hanging="720"/>
        <w:rPr>
          <w:rFonts w:ascii="Arial" w:hAnsi="Arial" w:cs="Arial"/>
        </w:rPr>
      </w:pPr>
    </w:p>
    <w:p w14:paraId="16CB034A" w14:textId="77777777" w:rsidR="000C31F6" w:rsidRPr="00D00CD3" w:rsidRDefault="000C31F6" w:rsidP="000C31F6">
      <w:pPr>
        <w:ind w:left="1440" w:hanging="720"/>
        <w:rPr>
          <w:rFonts w:ascii="Arial" w:hAnsi="Arial" w:cs="Arial"/>
        </w:rPr>
      </w:pPr>
      <w:r w:rsidRPr="00D00CD3">
        <w:rPr>
          <w:rFonts w:ascii="Arial" w:hAnsi="Arial" w:cs="Arial"/>
          <w:b/>
        </w:rPr>
        <w:t>A1:</w:t>
      </w:r>
      <w:r w:rsidRPr="00D00CD3">
        <w:rPr>
          <w:rFonts w:ascii="Arial" w:hAnsi="Arial" w:cs="Arial"/>
        </w:rPr>
        <w:tab/>
      </w:r>
      <w:r w:rsidR="00D4750E" w:rsidRPr="00D00CD3">
        <w:rPr>
          <w:rFonts w:ascii="Arial" w:hAnsi="Arial" w:cs="Arial"/>
          <w:color w:val="auto"/>
        </w:rPr>
        <w:t>Yes and this would require introduction of new RRC parameter for PDSCH to resolve the ambiguous cases highlighted by RAN2</w:t>
      </w:r>
    </w:p>
    <w:p w14:paraId="0549E9E7" w14:textId="77777777" w:rsidR="000C31F6" w:rsidRPr="00D00CD3" w:rsidRDefault="000C31F6" w:rsidP="000C31F6">
      <w:pPr>
        <w:ind w:left="1440" w:hanging="720"/>
        <w:rPr>
          <w:rFonts w:ascii="Arial" w:hAnsi="Arial" w:cs="Arial"/>
        </w:rPr>
      </w:pPr>
    </w:p>
    <w:p w14:paraId="7F9F0959" w14:textId="77777777" w:rsidR="000C31F6" w:rsidRPr="00D00CD3" w:rsidRDefault="000C31F6" w:rsidP="000C31F6">
      <w:pPr>
        <w:ind w:left="1440" w:hanging="720"/>
        <w:rPr>
          <w:rFonts w:ascii="Arial" w:hAnsi="Arial" w:cs="Arial"/>
        </w:rPr>
      </w:pPr>
      <w:r w:rsidRPr="00D00CD3">
        <w:rPr>
          <w:rFonts w:ascii="Arial" w:hAnsi="Arial" w:cs="Arial"/>
          <w:b/>
        </w:rPr>
        <w:t>Q2:</w:t>
      </w:r>
      <w:r w:rsidRPr="00D00CD3">
        <w:rPr>
          <w:rFonts w:ascii="Arial" w:hAnsi="Arial" w:cs="Arial"/>
          <w:b/>
        </w:rPr>
        <w:tab/>
      </w:r>
      <w:r w:rsidRPr="00D00CD3">
        <w:rPr>
          <w:rFonts w:ascii="Arial" w:hAnsi="Arial" w:cs="Arial"/>
        </w:rPr>
        <w:t>If the answer to Q1 is “yes”, does such parameter exist, i.e., is the UE meant to derive the maximum number MIMO layers per serving cell from existing parameters?</w:t>
      </w:r>
    </w:p>
    <w:p w14:paraId="133691A6" w14:textId="77777777" w:rsidR="00D4750E" w:rsidRPr="00D00CD3" w:rsidRDefault="00D4750E" w:rsidP="00D4750E">
      <w:pPr>
        <w:ind w:left="1440" w:hanging="720"/>
        <w:rPr>
          <w:rFonts w:ascii="Arial" w:hAnsi="Arial" w:cs="Arial"/>
          <w:b/>
        </w:rPr>
      </w:pPr>
    </w:p>
    <w:p w14:paraId="2F7E3997" w14:textId="77777777" w:rsidR="00D4750E" w:rsidRPr="00D00CD3" w:rsidRDefault="00D4750E" w:rsidP="00D4750E">
      <w:pPr>
        <w:ind w:left="1440" w:hanging="720"/>
        <w:rPr>
          <w:rFonts w:ascii="Arial" w:hAnsi="Arial" w:cs="Arial"/>
          <w:color w:val="auto"/>
        </w:rPr>
      </w:pPr>
      <w:r w:rsidRPr="00D00CD3">
        <w:rPr>
          <w:rFonts w:ascii="Arial" w:hAnsi="Arial" w:cs="Arial"/>
          <w:b/>
        </w:rPr>
        <w:t>A2:</w:t>
      </w:r>
      <w:r w:rsidRPr="00D00CD3">
        <w:rPr>
          <w:rFonts w:ascii="Arial" w:hAnsi="Arial" w:cs="Arial"/>
        </w:rPr>
        <w:tab/>
      </w:r>
      <w:r w:rsidR="000738DC" w:rsidRPr="00D00CD3">
        <w:rPr>
          <w:rFonts w:ascii="Arial" w:hAnsi="Arial" w:cs="Arial"/>
          <w:color w:val="auto"/>
        </w:rPr>
        <w:t>For PUSCH:</w:t>
      </w:r>
      <w:r w:rsidRPr="00D00CD3">
        <w:rPr>
          <w:rFonts w:ascii="Arial" w:hAnsi="Arial" w:cs="Arial"/>
          <w:color w:val="auto"/>
        </w:rPr>
        <w:t xml:space="preserve"> yes, there is an existing parameter </w:t>
      </w:r>
      <w:r w:rsidRPr="006B4E66">
        <w:rPr>
          <w:rFonts w:ascii="Arial" w:hAnsi="Arial" w:cs="Arial"/>
          <w:i/>
          <w:color w:val="auto"/>
        </w:rPr>
        <w:t>ULmaxRank</w:t>
      </w:r>
    </w:p>
    <w:p w14:paraId="187416BF" w14:textId="77777777" w:rsidR="00D4750E" w:rsidRPr="00D00CD3" w:rsidRDefault="000738DC" w:rsidP="00D4750E">
      <w:pPr>
        <w:ind w:left="1440"/>
        <w:rPr>
          <w:rFonts w:ascii="Arial" w:hAnsi="Arial" w:cs="Arial"/>
          <w:color w:val="auto"/>
        </w:rPr>
      </w:pPr>
      <w:r w:rsidRPr="00D00CD3">
        <w:rPr>
          <w:rFonts w:ascii="Arial" w:hAnsi="Arial" w:cs="Arial"/>
          <w:color w:val="auto"/>
        </w:rPr>
        <w:t>For PDSCH:</w:t>
      </w:r>
      <w:r w:rsidR="00D4750E" w:rsidRPr="00D00CD3">
        <w:rPr>
          <w:rFonts w:ascii="Arial" w:hAnsi="Arial" w:cs="Arial"/>
          <w:color w:val="auto"/>
        </w:rPr>
        <w:t xml:space="preserve"> </w:t>
      </w:r>
      <w:r w:rsidRPr="00D00CD3">
        <w:rPr>
          <w:rFonts w:ascii="Arial" w:hAnsi="Arial" w:cs="Arial"/>
          <w:color w:val="auto"/>
        </w:rPr>
        <w:t>no</w:t>
      </w:r>
      <w:r w:rsidR="00D4750E" w:rsidRPr="00D00CD3">
        <w:rPr>
          <w:rFonts w:ascii="Arial" w:hAnsi="Arial" w:cs="Arial"/>
          <w:color w:val="auto"/>
        </w:rPr>
        <w:t xml:space="preserve"> </w:t>
      </w:r>
    </w:p>
    <w:p w14:paraId="38995C67" w14:textId="77777777" w:rsidR="00D4750E" w:rsidRPr="00D00CD3" w:rsidRDefault="00D4750E" w:rsidP="000C31F6">
      <w:pPr>
        <w:ind w:left="1440" w:hanging="720"/>
        <w:rPr>
          <w:rFonts w:ascii="Arial" w:hAnsi="Arial" w:cs="Arial"/>
          <w:b/>
        </w:rPr>
      </w:pPr>
    </w:p>
    <w:p w14:paraId="6E7AAC0A" w14:textId="77777777" w:rsidR="000C31F6" w:rsidRPr="00D00CD3" w:rsidRDefault="000C31F6" w:rsidP="000C31F6">
      <w:pPr>
        <w:ind w:left="1440" w:hanging="720"/>
        <w:rPr>
          <w:rFonts w:ascii="Arial" w:hAnsi="Arial" w:cs="Arial"/>
          <w:b/>
        </w:rPr>
      </w:pPr>
    </w:p>
    <w:p w14:paraId="7326E68D" w14:textId="77777777" w:rsidR="000C31F6" w:rsidRPr="00D00CD3" w:rsidRDefault="000C31F6" w:rsidP="000C31F6">
      <w:pPr>
        <w:ind w:left="1440" w:hanging="720"/>
        <w:rPr>
          <w:rFonts w:ascii="Arial" w:hAnsi="Arial" w:cs="Arial"/>
        </w:rPr>
      </w:pPr>
      <w:r w:rsidRPr="00D00CD3">
        <w:rPr>
          <w:rFonts w:ascii="Arial" w:hAnsi="Arial" w:cs="Arial"/>
          <w:b/>
        </w:rPr>
        <w:t>Q3:</w:t>
      </w:r>
      <w:r w:rsidRPr="00D00CD3">
        <w:rPr>
          <w:rFonts w:ascii="Arial" w:hAnsi="Arial" w:cs="Arial"/>
        </w:rPr>
        <w:tab/>
        <w:t>If the answer to Q2 is “no”, should a new parameter be added per serving cell or per BWP?</w:t>
      </w:r>
      <w:r w:rsidRPr="00D00CD3">
        <w:rPr>
          <w:rFonts w:ascii="Arial" w:hAnsi="Arial" w:cs="Arial"/>
          <w:b/>
        </w:rPr>
        <w:t xml:space="preserve"> </w:t>
      </w:r>
      <w:r w:rsidRPr="00D00CD3">
        <w:rPr>
          <w:rFonts w:ascii="Arial" w:hAnsi="Arial" w:cs="Arial"/>
        </w:rPr>
        <w:t>RAN2 could add a parameter if RAN1 considers it necessary. From RAN2 perspective, per serving cell is preferred due to simplicity at this late stage in Rel-15.</w:t>
      </w:r>
    </w:p>
    <w:p w14:paraId="3667B738" w14:textId="77777777" w:rsidR="00D4750E" w:rsidRPr="00D00CD3" w:rsidRDefault="00D4750E" w:rsidP="00D4750E">
      <w:pPr>
        <w:ind w:firstLine="720"/>
        <w:rPr>
          <w:rFonts w:ascii="Arial" w:hAnsi="Arial" w:cs="Arial"/>
          <w:b/>
        </w:rPr>
      </w:pPr>
    </w:p>
    <w:p w14:paraId="43ECACE5" w14:textId="1AA479F4" w:rsidR="00D4750E" w:rsidRPr="00D00CD3" w:rsidRDefault="001B54FE" w:rsidP="001B54FE">
      <w:pPr>
        <w:ind w:left="1440" w:hanging="720"/>
        <w:rPr>
          <w:rFonts w:ascii="Arial" w:hAnsi="Arial" w:cs="Arial"/>
        </w:rPr>
      </w:pPr>
      <w:r w:rsidRPr="00D00CD3">
        <w:rPr>
          <w:rFonts w:ascii="Arial" w:hAnsi="Arial" w:cs="Arial"/>
          <w:b/>
        </w:rPr>
        <w:t>A3</w:t>
      </w:r>
      <w:r w:rsidR="00D4750E" w:rsidRPr="00D00CD3">
        <w:rPr>
          <w:rFonts w:ascii="Arial" w:hAnsi="Arial" w:cs="Arial"/>
          <w:b/>
        </w:rPr>
        <w:t>:</w:t>
      </w:r>
      <w:r w:rsidR="00D4750E" w:rsidRPr="00D00CD3">
        <w:rPr>
          <w:rFonts w:ascii="Arial" w:hAnsi="Arial" w:cs="Arial"/>
        </w:rPr>
        <w:tab/>
      </w:r>
      <w:r w:rsidRPr="00D00CD3">
        <w:rPr>
          <w:rFonts w:ascii="Arial" w:hAnsi="Arial" w:cs="Arial"/>
          <w:color w:val="auto"/>
        </w:rPr>
        <w:t>RAN1 agrees that a</w:t>
      </w:r>
      <w:r w:rsidR="000738DC" w:rsidRPr="00D00CD3">
        <w:rPr>
          <w:rFonts w:ascii="Arial" w:hAnsi="Arial" w:cs="Arial"/>
          <w:color w:val="auto"/>
        </w:rPr>
        <w:t xml:space="preserve"> new parameter </w:t>
      </w:r>
      <w:r w:rsidR="000738DC" w:rsidRPr="006B4E66">
        <w:rPr>
          <w:rFonts w:ascii="Arial" w:hAnsi="Arial" w:cs="Arial"/>
          <w:i/>
          <w:color w:val="auto"/>
        </w:rPr>
        <w:t>DLmaxRank</w:t>
      </w:r>
      <w:r w:rsidR="000738DC" w:rsidRPr="00D00CD3">
        <w:rPr>
          <w:rFonts w:ascii="Arial" w:hAnsi="Arial" w:cs="Arial"/>
          <w:color w:val="auto"/>
        </w:rPr>
        <w:t xml:space="preserve"> for PDSCH </w:t>
      </w:r>
      <w:r w:rsidRPr="00D00CD3">
        <w:rPr>
          <w:rFonts w:ascii="Arial" w:hAnsi="Arial" w:cs="Arial"/>
          <w:color w:val="auto"/>
        </w:rPr>
        <w:t>is</w:t>
      </w:r>
      <w:r w:rsidR="000738DC" w:rsidRPr="00D00CD3">
        <w:rPr>
          <w:rFonts w:ascii="Arial" w:hAnsi="Arial" w:cs="Arial"/>
          <w:color w:val="auto"/>
        </w:rPr>
        <w:t xml:space="preserve"> introduced per serving cell</w:t>
      </w:r>
    </w:p>
    <w:p w14:paraId="69B1A6F4" w14:textId="77777777" w:rsidR="000C31F6" w:rsidRPr="00D00CD3" w:rsidRDefault="000C31F6" w:rsidP="000C31F6">
      <w:pPr>
        <w:spacing w:after="120"/>
        <w:ind w:left="1985" w:hanging="1985"/>
        <w:rPr>
          <w:rFonts w:ascii="Arial" w:hAnsi="Arial" w:cs="Arial"/>
          <w:b/>
        </w:rPr>
      </w:pPr>
    </w:p>
    <w:p w14:paraId="5F5ECFB5" w14:textId="77777777" w:rsidR="000C31F6" w:rsidRPr="00D00CD3" w:rsidRDefault="000C31F6" w:rsidP="000C31F6">
      <w:pPr>
        <w:ind w:left="1440" w:hanging="720"/>
        <w:rPr>
          <w:rFonts w:ascii="Arial" w:hAnsi="Arial" w:cs="Arial"/>
          <w:b/>
        </w:rPr>
      </w:pPr>
      <w:r w:rsidRPr="00D00CD3">
        <w:rPr>
          <w:rFonts w:ascii="Arial" w:hAnsi="Arial" w:cs="Arial"/>
          <w:b/>
        </w:rPr>
        <w:t>Q4:</w:t>
      </w:r>
      <w:r w:rsidRPr="00D00CD3">
        <w:rPr>
          <w:rFonts w:ascii="Arial" w:hAnsi="Arial" w:cs="Arial"/>
          <w:b/>
        </w:rPr>
        <w:tab/>
      </w:r>
      <w:r w:rsidRPr="00D00CD3">
        <w:rPr>
          <w:rFonts w:ascii="Arial" w:hAnsi="Arial" w:cs="Arial"/>
        </w:rPr>
        <w:t xml:space="preserve">If R1 only sees the need of MIMO configuration per BWP, i.e. no MIMO configuration per CC, is the NW allowed to configure MIMO layers in BWP so that </w:t>
      </w:r>
      <w:r w:rsidRPr="00D00CD3">
        <w:rPr>
          <w:rFonts w:ascii="Arial" w:hAnsi="Arial" w:cs="Arial"/>
          <w:b/>
        </w:rPr>
        <w:t>only</w:t>
      </w:r>
      <w:r w:rsidRPr="00D00CD3">
        <w:rPr>
          <w:rFonts w:ascii="Arial" w:hAnsi="Arial" w:cs="Arial"/>
        </w:rPr>
        <w:t xml:space="preserve"> certain combinations of BWPs in different serving cells are within the UE’s MIMO capabilities? In other words, may the NW reallocate MIMO layers to another serving cell by switching BWPs in those serving cells?</w:t>
      </w:r>
    </w:p>
    <w:p w14:paraId="53533043" w14:textId="77777777" w:rsidR="001B54FE" w:rsidRPr="00D00CD3" w:rsidRDefault="001B54FE" w:rsidP="001B54FE">
      <w:pPr>
        <w:ind w:left="1440" w:hanging="720"/>
        <w:rPr>
          <w:rFonts w:ascii="Arial" w:hAnsi="Arial" w:cs="Arial"/>
          <w:b/>
        </w:rPr>
      </w:pPr>
    </w:p>
    <w:p w14:paraId="396F6E8E" w14:textId="107C3CA7" w:rsidR="001B54FE" w:rsidRPr="00D00CD3" w:rsidRDefault="001B54FE" w:rsidP="001B54FE">
      <w:pPr>
        <w:ind w:left="1440" w:hanging="720"/>
        <w:rPr>
          <w:rFonts w:ascii="Arial" w:hAnsi="Arial" w:cs="Arial"/>
        </w:rPr>
      </w:pPr>
      <w:r w:rsidRPr="00D00CD3">
        <w:rPr>
          <w:rFonts w:ascii="Arial" w:hAnsi="Arial" w:cs="Arial"/>
          <w:b/>
        </w:rPr>
        <w:t>A4:</w:t>
      </w:r>
      <w:r w:rsidRPr="00D00CD3">
        <w:rPr>
          <w:rFonts w:ascii="Arial" w:hAnsi="Arial" w:cs="Arial"/>
        </w:rPr>
        <w:tab/>
      </w:r>
      <w:r w:rsidRPr="00D00CD3">
        <w:rPr>
          <w:rFonts w:ascii="Arial" w:hAnsi="Arial" w:cs="Arial"/>
          <w:color w:val="auto"/>
        </w:rPr>
        <w:t>RAN1 agrees that the new parameter is introduced per serving cell</w:t>
      </w:r>
      <w:r w:rsidR="006B4E66">
        <w:rPr>
          <w:rFonts w:ascii="Arial" w:hAnsi="Arial" w:cs="Arial"/>
          <w:color w:val="auto"/>
        </w:rPr>
        <w:t xml:space="preserve"> only</w:t>
      </w:r>
      <w:r w:rsidRPr="00D00CD3">
        <w:rPr>
          <w:rFonts w:ascii="Arial" w:hAnsi="Arial" w:cs="Arial"/>
          <w:color w:val="auto"/>
        </w:rPr>
        <w:t>, not</w:t>
      </w:r>
      <w:r w:rsidR="006B4E66">
        <w:rPr>
          <w:rFonts w:ascii="Arial" w:hAnsi="Arial" w:cs="Arial"/>
          <w:color w:val="auto"/>
        </w:rPr>
        <w:t xml:space="preserve"> per</w:t>
      </w:r>
      <w:r w:rsidRPr="00D00CD3">
        <w:rPr>
          <w:rFonts w:ascii="Arial" w:hAnsi="Arial" w:cs="Arial"/>
          <w:color w:val="auto"/>
        </w:rPr>
        <w:t xml:space="preserve"> BWP</w:t>
      </w:r>
    </w:p>
    <w:p w14:paraId="02F10CDD" w14:textId="77777777" w:rsidR="000C31F6" w:rsidRPr="00D00CD3" w:rsidRDefault="000C31F6" w:rsidP="000C31F6">
      <w:pPr>
        <w:spacing w:after="120"/>
        <w:ind w:left="1985" w:hanging="1985"/>
        <w:rPr>
          <w:rFonts w:ascii="Arial" w:hAnsi="Arial" w:cs="Arial"/>
          <w:b/>
        </w:rPr>
      </w:pPr>
    </w:p>
    <w:p w14:paraId="74873480" w14:textId="77777777" w:rsidR="000C31F6" w:rsidRPr="00D00CD3" w:rsidRDefault="000C31F6" w:rsidP="000C31F6">
      <w:pPr>
        <w:ind w:left="1440" w:hanging="720"/>
        <w:rPr>
          <w:rFonts w:ascii="Arial" w:hAnsi="Arial" w:cs="Arial"/>
        </w:rPr>
      </w:pPr>
      <w:r w:rsidRPr="00D00CD3">
        <w:rPr>
          <w:rFonts w:ascii="Arial" w:hAnsi="Arial" w:cs="Arial"/>
          <w:b/>
        </w:rPr>
        <w:t>Q5:</w:t>
      </w:r>
      <w:r w:rsidRPr="00D00CD3">
        <w:rPr>
          <w:rFonts w:ascii="Arial" w:hAnsi="Arial" w:cs="Arial"/>
          <w:b/>
        </w:rPr>
        <w:tab/>
      </w:r>
      <w:r w:rsidRPr="00D00CD3">
        <w:rPr>
          <w:rFonts w:ascii="Arial" w:hAnsi="Arial" w:cs="Arial"/>
        </w:rPr>
        <w:t>The UE indicates the number of supported MIMO layers for DL in its UE capabilities. Do those capabilities also limit the configuration of CSI report?</w:t>
      </w:r>
    </w:p>
    <w:p w14:paraId="01F617E1" w14:textId="77777777" w:rsidR="001B54FE" w:rsidRPr="00D00CD3" w:rsidRDefault="001B54FE" w:rsidP="000C31F6">
      <w:pPr>
        <w:ind w:left="1440" w:hanging="720"/>
        <w:rPr>
          <w:rFonts w:ascii="Arial" w:hAnsi="Arial" w:cs="Arial"/>
        </w:rPr>
      </w:pPr>
    </w:p>
    <w:p w14:paraId="58FEC337" w14:textId="6EE5E0E1" w:rsidR="001B54FE" w:rsidRPr="005525B6" w:rsidRDefault="001B54FE" w:rsidP="001B54FE">
      <w:pPr>
        <w:ind w:left="1440" w:hanging="720"/>
        <w:rPr>
          <w:rFonts w:ascii="Arial" w:hAnsi="Arial" w:cs="Arial"/>
        </w:rPr>
      </w:pPr>
      <w:r w:rsidRPr="00D00CD3">
        <w:rPr>
          <w:rFonts w:ascii="Arial" w:hAnsi="Arial" w:cs="Arial"/>
          <w:b/>
        </w:rPr>
        <w:lastRenderedPageBreak/>
        <w:t>A5:</w:t>
      </w:r>
      <w:r w:rsidRPr="00D00CD3">
        <w:rPr>
          <w:rFonts w:ascii="Arial" w:hAnsi="Arial" w:cs="Arial"/>
        </w:rPr>
        <w:tab/>
      </w:r>
      <w:r w:rsidRPr="00D00CD3">
        <w:rPr>
          <w:rFonts w:ascii="Arial" w:hAnsi="Arial" w:cs="Arial"/>
          <w:color w:val="auto"/>
        </w:rPr>
        <w:t>No, the configuration of CSI reporting</w:t>
      </w:r>
      <w:r w:rsidR="00D93CC9" w:rsidRPr="00D00CD3">
        <w:rPr>
          <w:rFonts w:ascii="Arial" w:hAnsi="Arial" w:cs="Arial"/>
          <w:color w:val="auto"/>
        </w:rPr>
        <w:t xml:space="preserve"> is independent, the UE shall not make any assumptions on potential configuration of CSI reporting based on the reported UE capability</w:t>
      </w:r>
      <w:r w:rsidR="00945EDC" w:rsidRPr="00D00CD3">
        <w:rPr>
          <w:rFonts w:ascii="Arial" w:hAnsi="Arial" w:cs="Arial"/>
          <w:color w:val="auto"/>
        </w:rPr>
        <w:t xml:space="preserve"> on supported MIMO layers</w:t>
      </w:r>
    </w:p>
    <w:p w14:paraId="409402D4" w14:textId="77777777" w:rsidR="0012167A" w:rsidRPr="00DF4C2A" w:rsidRDefault="0012167A" w:rsidP="00DF4C2A">
      <w:pPr>
        <w:rPr>
          <w:rFonts w:ascii="Arial" w:hAnsi="Arial" w:cs="Arial"/>
        </w:rPr>
      </w:pPr>
    </w:p>
    <w:p w14:paraId="093D5470" w14:textId="77777777" w:rsidR="00EE6084" w:rsidRDefault="00EE6084">
      <w:pPr>
        <w:pStyle w:val="Header"/>
        <w:tabs>
          <w:tab w:val="clear" w:pos="4153"/>
          <w:tab w:val="clear" w:pos="8306"/>
        </w:tabs>
        <w:rPr>
          <w:rFonts w:ascii="Arial" w:hAnsi="Arial" w:cs="Arial"/>
        </w:rPr>
      </w:pPr>
    </w:p>
    <w:p w14:paraId="10DD02DD" w14:textId="77777777" w:rsidR="00602A6B" w:rsidRDefault="00602A6B">
      <w:pPr>
        <w:spacing w:after="120"/>
        <w:rPr>
          <w:rFonts w:ascii="Arial" w:hAnsi="Arial" w:cs="Arial"/>
          <w:b/>
        </w:rPr>
      </w:pPr>
      <w:r>
        <w:rPr>
          <w:rFonts w:ascii="Arial" w:hAnsi="Arial" w:cs="Arial"/>
          <w:b/>
        </w:rPr>
        <w:t>2. Actions:</w:t>
      </w:r>
    </w:p>
    <w:p w14:paraId="09C39847" w14:textId="1989C8BA" w:rsidR="00654A2E" w:rsidRDefault="00592F26" w:rsidP="00B273A1">
      <w:pPr>
        <w:spacing w:after="120"/>
        <w:ind w:left="1134" w:hanging="1134"/>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RAN1 would like kindly ask RAN</w:t>
      </w:r>
      <w:r w:rsidR="008740BB">
        <w:rPr>
          <w:rFonts w:ascii="Arial" w:hAnsi="Arial" w:cs="Arial"/>
        </w:rPr>
        <w:t>2</w:t>
      </w:r>
      <w:r w:rsidR="0012167A">
        <w:rPr>
          <w:rFonts w:ascii="Arial" w:hAnsi="Arial" w:cs="Arial"/>
        </w:rPr>
        <w:t xml:space="preserve"> </w:t>
      </w:r>
      <w:r w:rsidR="00EE6084">
        <w:rPr>
          <w:rFonts w:ascii="Arial" w:hAnsi="Arial" w:cs="Arial"/>
        </w:rPr>
        <w:t xml:space="preserve">to consider the above in their further </w:t>
      </w:r>
      <w:r w:rsidR="006B4E66">
        <w:rPr>
          <w:rFonts w:ascii="Arial" w:hAnsi="Arial" w:cs="Arial"/>
        </w:rPr>
        <w:t xml:space="preserve">work and unless RAN4 LS response indicate concerns, introduce the RRC parameter </w:t>
      </w:r>
      <w:r w:rsidR="006B4E66" w:rsidRPr="006B4E66">
        <w:rPr>
          <w:rFonts w:ascii="Arial" w:hAnsi="Arial" w:cs="Arial"/>
          <w:i/>
          <w:color w:val="auto"/>
        </w:rPr>
        <w:t>DLmaxRank</w:t>
      </w:r>
      <w:r w:rsidR="006B4E66" w:rsidRPr="00D00CD3">
        <w:rPr>
          <w:rFonts w:ascii="Arial" w:hAnsi="Arial" w:cs="Arial"/>
          <w:color w:val="auto"/>
        </w:rPr>
        <w:t xml:space="preserve"> for </w:t>
      </w:r>
      <w:r w:rsidR="006B4E66">
        <w:rPr>
          <w:rFonts w:ascii="Arial" w:hAnsi="Arial" w:cs="Arial"/>
          <w:color w:val="auto"/>
        </w:rPr>
        <w:t>PDSCH</w:t>
      </w:r>
      <w:r w:rsidR="006B4E66" w:rsidRPr="00D00CD3">
        <w:rPr>
          <w:rFonts w:ascii="Arial" w:hAnsi="Arial" w:cs="Arial"/>
          <w:color w:val="auto"/>
        </w:rPr>
        <w:t xml:space="preserve"> per serving cell</w:t>
      </w:r>
      <w:bookmarkStart w:id="0" w:name="_GoBack"/>
      <w:bookmarkEnd w:id="0"/>
    </w:p>
    <w:p w14:paraId="2FB593EA" w14:textId="77777777" w:rsidR="00602A6B" w:rsidRDefault="00602A6B">
      <w:pPr>
        <w:spacing w:after="120"/>
        <w:ind w:left="993" w:hanging="993"/>
        <w:rPr>
          <w:rFonts w:ascii="Arial" w:hAnsi="Arial" w:cs="Arial"/>
        </w:rPr>
      </w:pPr>
    </w:p>
    <w:p w14:paraId="63F853B8" w14:textId="77777777"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14:paraId="48B0A045" w14:textId="77777777"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Ad-hoc 1901 </w:t>
      </w:r>
      <w:r>
        <w:rPr>
          <w:rFonts w:ascii="Arial" w:hAnsi="Arial" w:cs="Arial"/>
          <w:bCs/>
        </w:rPr>
        <w:tab/>
        <w:t>20 – 25 Jan 2019</w:t>
      </w:r>
      <w:r>
        <w:rPr>
          <w:rFonts w:ascii="Arial" w:hAnsi="Arial" w:cs="Arial"/>
          <w:bCs/>
        </w:rPr>
        <w:tab/>
      </w:r>
      <w:r>
        <w:rPr>
          <w:rFonts w:ascii="Arial" w:hAnsi="Arial" w:cs="Arial"/>
          <w:bCs/>
        </w:rPr>
        <w:tab/>
      </w:r>
      <w:r>
        <w:rPr>
          <w:rFonts w:ascii="Arial" w:hAnsi="Arial" w:cs="Arial"/>
          <w:bCs/>
        </w:rPr>
        <w:tab/>
        <w:t>Taipei, Taiwan</w:t>
      </w:r>
    </w:p>
    <w:p w14:paraId="3B015C85" w14:textId="77777777" w:rsidR="00B273A1" w:rsidRDefault="0012167A" w:rsidP="0031722B">
      <w:pPr>
        <w:tabs>
          <w:tab w:val="left" w:pos="4111"/>
        </w:tabs>
        <w:spacing w:after="120"/>
        <w:rPr>
          <w:rFonts w:ascii="Arial" w:hAnsi="Arial" w:cs="Arial"/>
          <w:bCs/>
        </w:rPr>
      </w:pPr>
      <w:r>
        <w:rPr>
          <w:rFonts w:ascii="Arial" w:hAnsi="Arial" w:cs="Arial"/>
          <w:bCs/>
        </w:rPr>
        <w:t xml:space="preserve">TSG-RAN WG1 Meeting #96 </w:t>
      </w:r>
      <w:r>
        <w:rPr>
          <w:rFonts w:ascii="Arial" w:hAnsi="Arial" w:cs="Arial"/>
          <w:bCs/>
        </w:rPr>
        <w:tab/>
        <w:t>25 Feb – 1 Mar 2019</w:t>
      </w:r>
      <w:r>
        <w:rPr>
          <w:rFonts w:ascii="Arial" w:hAnsi="Arial" w:cs="Arial"/>
          <w:bCs/>
        </w:rPr>
        <w:tab/>
      </w:r>
      <w:r>
        <w:rPr>
          <w:rFonts w:ascii="Arial" w:hAnsi="Arial" w:cs="Arial"/>
          <w:bCs/>
        </w:rPr>
        <w:tab/>
        <w:t>Athens, Greece</w:t>
      </w:r>
    </w:p>
    <w:sectPr w:rsidR="00B273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DF446" w14:textId="77777777" w:rsidR="004022A6" w:rsidRDefault="004022A6">
      <w:r>
        <w:separator/>
      </w:r>
    </w:p>
  </w:endnote>
  <w:endnote w:type="continuationSeparator" w:id="0">
    <w:p w14:paraId="2EB707D9" w14:textId="77777777" w:rsidR="004022A6" w:rsidRDefault="0040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7DB70" w14:textId="77777777" w:rsidR="004022A6" w:rsidRDefault="004022A6">
      <w:r>
        <w:separator/>
      </w:r>
    </w:p>
  </w:footnote>
  <w:footnote w:type="continuationSeparator" w:id="0">
    <w:p w14:paraId="772F7F97" w14:textId="77777777" w:rsidR="004022A6" w:rsidRDefault="00402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5"/>
  </w:num>
  <w:num w:numId="5">
    <w:abstractNumId w:val="0"/>
  </w:num>
  <w:num w:numId="6">
    <w:abstractNumId w:val="19"/>
  </w:num>
  <w:num w:numId="7">
    <w:abstractNumId w:val="2"/>
  </w:num>
  <w:num w:numId="8">
    <w:abstractNumId w:val="11"/>
  </w:num>
  <w:num w:numId="9">
    <w:abstractNumId w:val="9"/>
  </w:num>
  <w:num w:numId="10">
    <w:abstractNumId w:val="7"/>
  </w:num>
  <w:num w:numId="11">
    <w:abstractNumId w:val="6"/>
  </w:num>
  <w:num w:numId="12">
    <w:abstractNumId w:val="17"/>
  </w:num>
  <w:num w:numId="13">
    <w:abstractNumId w:val="8"/>
  </w:num>
  <w:num w:numId="14">
    <w:abstractNumId w:val="13"/>
  </w:num>
  <w:num w:numId="15">
    <w:abstractNumId w:val="3"/>
  </w:num>
  <w:num w:numId="16">
    <w:abstractNumId w:val="12"/>
  </w:num>
  <w:num w:numId="17">
    <w:abstractNumId w:val="18"/>
  </w:num>
  <w:num w:numId="18">
    <w:abstractNumId w:val="15"/>
  </w:num>
  <w:num w:numId="19">
    <w:abstractNumId w:val="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26A0E"/>
    <w:rsid w:val="000300A1"/>
    <w:rsid w:val="00042010"/>
    <w:rsid w:val="0004386E"/>
    <w:rsid w:val="00054076"/>
    <w:rsid w:val="00054D9A"/>
    <w:rsid w:val="00056907"/>
    <w:rsid w:val="000738DC"/>
    <w:rsid w:val="000B2922"/>
    <w:rsid w:val="000B6CA7"/>
    <w:rsid w:val="000C11EF"/>
    <w:rsid w:val="000C31F6"/>
    <w:rsid w:val="000E2CF0"/>
    <w:rsid w:val="000F53BB"/>
    <w:rsid w:val="000F769C"/>
    <w:rsid w:val="00111471"/>
    <w:rsid w:val="0012167A"/>
    <w:rsid w:val="0012199A"/>
    <w:rsid w:val="00121BF6"/>
    <w:rsid w:val="00124346"/>
    <w:rsid w:val="00127A64"/>
    <w:rsid w:val="00134658"/>
    <w:rsid w:val="00137236"/>
    <w:rsid w:val="00166925"/>
    <w:rsid w:val="001746A2"/>
    <w:rsid w:val="00186799"/>
    <w:rsid w:val="001A0F55"/>
    <w:rsid w:val="001B54FE"/>
    <w:rsid w:val="001C75FD"/>
    <w:rsid w:val="001C7F2C"/>
    <w:rsid w:val="001D1513"/>
    <w:rsid w:val="001D2AF5"/>
    <w:rsid w:val="001F29A4"/>
    <w:rsid w:val="001F4D45"/>
    <w:rsid w:val="00203F32"/>
    <w:rsid w:val="00213960"/>
    <w:rsid w:val="002203A6"/>
    <w:rsid w:val="00220B7D"/>
    <w:rsid w:val="00221642"/>
    <w:rsid w:val="00224B97"/>
    <w:rsid w:val="002300A3"/>
    <w:rsid w:val="00233142"/>
    <w:rsid w:val="00270EDA"/>
    <w:rsid w:val="00274301"/>
    <w:rsid w:val="00284AD7"/>
    <w:rsid w:val="00286C6C"/>
    <w:rsid w:val="0029412E"/>
    <w:rsid w:val="002A0D82"/>
    <w:rsid w:val="002A2F25"/>
    <w:rsid w:val="002A76E1"/>
    <w:rsid w:val="002C0435"/>
    <w:rsid w:val="002C2234"/>
    <w:rsid w:val="002C3618"/>
    <w:rsid w:val="002F1C4C"/>
    <w:rsid w:val="002F4AD0"/>
    <w:rsid w:val="00302070"/>
    <w:rsid w:val="003065A9"/>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2034"/>
    <w:rsid w:val="004022A6"/>
    <w:rsid w:val="00404312"/>
    <w:rsid w:val="00407CF0"/>
    <w:rsid w:val="00410E34"/>
    <w:rsid w:val="00411575"/>
    <w:rsid w:val="004155CD"/>
    <w:rsid w:val="00422B58"/>
    <w:rsid w:val="00424036"/>
    <w:rsid w:val="00424D93"/>
    <w:rsid w:val="00426167"/>
    <w:rsid w:val="00440BA7"/>
    <w:rsid w:val="00440DBD"/>
    <w:rsid w:val="004417EF"/>
    <w:rsid w:val="00441BA9"/>
    <w:rsid w:val="00453013"/>
    <w:rsid w:val="0045660B"/>
    <w:rsid w:val="00456FD8"/>
    <w:rsid w:val="00480C92"/>
    <w:rsid w:val="004824D4"/>
    <w:rsid w:val="0049165A"/>
    <w:rsid w:val="004A4AED"/>
    <w:rsid w:val="004B3615"/>
    <w:rsid w:val="004C35B7"/>
    <w:rsid w:val="004C61C6"/>
    <w:rsid w:val="004E602C"/>
    <w:rsid w:val="004F70E8"/>
    <w:rsid w:val="00503AF3"/>
    <w:rsid w:val="005043ED"/>
    <w:rsid w:val="00505418"/>
    <w:rsid w:val="00505A83"/>
    <w:rsid w:val="00521FA7"/>
    <w:rsid w:val="00532BED"/>
    <w:rsid w:val="00540031"/>
    <w:rsid w:val="005545F3"/>
    <w:rsid w:val="0057097B"/>
    <w:rsid w:val="005738A4"/>
    <w:rsid w:val="00592E60"/>
    <w:rsid w:val="00592F26"/>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4A2E"/>
    <w:rsid w:val="00655089"/>
    <w:rsid w:val="00656048"/>
    <w:rsid w:val="00664C87"/>
    <w:rsid w:val="00665967"/>
    <w:rsid w:val="00667086"/>
    <w:rsid w:val="00683AFF"/>
    <w:rsid w:val="006858AE"/>
    <w:rsid w:val="006B4BAE"/>
    <w:rsid w:val="006B4E66"/>
    <w:rsid w:val="006E4DEB"/>
    <w:rsid w:val="006E53D1"/>
    <w:rsid w:val="00705C88"/>
    <w:rsid w:val="00737754"/>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21ECE"/>
    <w:rsid w:val="0082305D"/>
    <w:rsid w:val="0082515D"/>
    <w:rsid w:val="00830195"/>
    <w:rsid w:val="0083521D"/>
    <w:rsid w:val="0085025A"/>
    <w:rsid w:val="00854D48"/>
    <w:rsid w:val="00857A60"/>
    <w:rsid w:val="008666C1"/>
    <w:rsid w:val="008740BB"/>
    <w:rsid w:val="0087596B"/>
    <w:rsid w:val="00880BCD"/>
    <w:rsid w:val="00891565"/>
    <w:rsid w:val="00893308"/>
    <w:rsid w:val="008A3173"/>
    <w:rsid w:val="008B60C5"/>
    <w:rsid w:val="008C37FE"/>
    <w:rsid w:val="008D06B0"/>
    <w:rsid w:val="008D10BD"/>
    <w:rsid w:val="008D6502"/>
    <w:rsid w:val="008F3530"/>
    <w:rsid w:val="00900023"/>
    <w:rsid w:val="00901427"/>
    <w:rsid w:val="00902652"/>
    <w:rsid w:val="00903F14"/>
    <w:rsid w:val="00925ED5"/>
    <w:rsid w:val="009274E9"/>
    <w:rsid w:val="009336CC"/>
    <w:rsid w:val="00945EDC"/>
    <w:rsid w:val="00957903"/>
    <w:rsid w:val="00967980"/>
    <w:rsid w:val="00974925"/>
    <w:rsid w:val="009856CA"/>
    <w:rsid w:val="009A6CDA"/>
    <w:rsid w:val="009B10D0"/>
    <w:rsid w:val="009B4223"/>
    <w:rsid w:val="009D017B"/>
    <w:rsid w:val="009D1E06"/>
    <w:rsid w:val="009D4EF9"/>
    <w:rsid w:val="009E3F1E"/>
    <w:rsid w:val="009E74C8"/>
    <w:rsid w:val="00A23CC0"/>
    <w:rsid w:val="00A32DC7"/>
    <w:rsid w:val="00A3797B"/>
    <w:rsid w:val="00A41CA1"/>
    <w:rsid w:val="00A6489C"/>
    <w:rsid w:val="00A73035"/>
    <w:rsid w:val="00A84691"/>
    <w:rsid w:val="00AA66B5"/>
    <w:rsid w:val="00AB1B42"/>
    <w:rsid w:val="00AC212F"/>
    <w:rsid w:val="00AC2AED"/>
    <w:rsid w:val="00AE4AFC"/>
    <w:rsid w:val="00AE5F2B"/>
    <w:rsid w:val="00AF060F"/>
    <w:rsid w:val="00AF0ED3"/>
    <w:rsid w:val="00B00815"/>
    <w:rsid w:val="00B13B47"/>
    <w:rsid w:val="00B21AD0"/>
    <w:rsid w:val="00B273A1"/>
    <w:rsid w:val="00B3057D"/>
    <w:rsid w:val="00B3108B"/>
    <w:rsid w:val="00B344E2"/>
    <w:rsid w:val="00B36AF1"/>
    <w:rsid w:val="00B40D76"/>
    <w:rsid w:val="00B47016"/>
    <w:rsid w:val="00B478AE"/>
    <w:rsid w:val="00B530DE"/>
    <w:rsid w:val="00B56EB1"/>
    <w:rsid w:val="00B5726D"/>
    <w:rsid w:val="00B615E0"/>
    <w:rsid w:val="00B710DF"/>
    <w:rsid w:val="00B728E6"/>
    <w:rsid w:val="00B80FB9"/>
    <w:rsid w:val="00BA5A2B"/>
    <w:rsid w:val="00BA62A5"/>
    <w:rsid w:val="00BA6806"/>
    <w:rsid w:val="00BB0037"/>
    <w:rsid w:val="00BB0DC3"/>
    <w:rsid w:val="00BB1DAA"/>
    <w:rsid w:val="00BC470E"/>
    <w:rsid w:val="00BC4819"/>
    <w:rsid w:val="00BC48FE"/>
    <w:rsid w:val="00BE54F8"/>
    <w:rsid w:val="00BE5852"/>
    <w:rsid w:val="00BE75B1"/>
    <w:rsid w:val="00BF21AF"/>
    <w:rsid w:val="00BF317B"/>
    <w:rsid w:val="00BF7BE5"/>
    <w:rsid w:val="00C045C4"/>
    <w:rsid w:val="00C30B54"/>
    <w:rsid w:val="00C31799"/>
    <w:rsid w:val="00C36372"/>
    <w:rsid w:val="00C433C7"/>
    <w:rsid w:val="00C51971"/>
    <w:rsid w:val="00C64063"/>
    <w:rsid w:val="00C64108"/>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0CD3"/>
    <w:rsid w:val="00D01BE1"/>
    <w:rsid w:val="00D1253C"/>
    <w:rsid w:val="00D21EDA"/>
    <w:rsid w:val="00D23850"/>
    <w:rsid w:val="00D315FC"/>
    <w:rsid w:val="00D3385B"/>
    <w:rsid w:val="00D35C7A"/>
    <w:rsid w:val="00D46174"/>
    <w:rsid w:val="00D4750E"/>
    <w:rsid w:val="00D47564"/>
    <w:rsid w:val="00D5250F"/>
    <w:rsid w:val="00D80BAF"/>
    <w:rsid w:val="00D84795"/>
    <w:rsid w:val="00D85146"/>
    <w:rsid w:val="00D9077B"/>
    <w:rsid w:val="00D9315D"/>
    <w:rsid w:val="00D93CC9"/>
    <w:rsid w:val="00DA3565"/>
    <w:rsid w:val="00DA5478"/>
    <w:rsid w:val="00DD32A7"/>
    <w:rsid w:val="00DD4EEC"/>
    <w:rsid w:val="00DE3B29"/>
    <w:rsid w:val="00DF4C2A"/>
    <w:rsid w:val="00E01D0B"/>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347E"/>
    <w:rsid w:val="00EF65E6"/>
    <w:rsid w:val="00F009AD"/>
    <w:rsid w:val="00F06C56"/>
    <w:rsid w:val="00F2208D"/>
    <w:rsid w:val="00F24085"/>
    <w:rsid w:val="00F31BFE"/>
    <w:rsid w:val="00F3373E"/>
    <w:rsid w:val="00F46180"/>
    <w:rsid w:val="00F62990"/>
    <w:rsid w:val="00F673DB"/>
    <w:rsid w:val="00F87B5E"/>
    <w:rsid w:val="00F936D0"/>
    <w:rsid w:val="00F97085"/>
    <w:rsid w:val="00FA6A47"/>
    <w:rsid w:val="00FA7092"/>
    <w:rsid w:val="00FB1416"/>
    <w:rsid w:val="00FB6425"/>
    <w:rsid w:val="00FC14BC"/>
    <w:rsid w:val="00FC568B"/>
    <w:rsid w:val="00FD384D"/>
    <w:rsid w:val="00FD74CD"/>
    <w:rsid w:val="00FE11A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5C29B2"/>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50E"/>
    <w:pPr>
      <w:jc w:val="both"/>
    </w:pPr>
    <w:rPr>
      <w:rFonts w:eastAsiaTheme="minorHAnsi"/>
      <w:color w:val="000000"/>
      <w:sz w:val="21"/>
      <w:szCs w:val="21"/>
      <w:lang w:eastAsia="en-US"/>
    </w:rPr>
  </w:style>
  <w:style w:type="paragraph" w:styleId="Heading1">
    <w:name w:val="heading 1"/>
    <w:aliases w:val="H1,h1"/>
    <w:basedOn w:val="Normal"/>
    <w:next w:val="Normal"/>
    <w:qFormat/>
    <w:pPr>
      <w:keepNext/>
      <w:spacing w:after="240"/>
      <w:ind w:left="1985" w:right="284" w:hanging="1985"/>
      <w:jc w:val="left"/>
      <w:outlineLvl w:val="0"/>
    </w:pPr>
    <w:rPr>
      <w:rFonts w:ascii="Arial" w:eastAsia="Times New Roman" w:hAnsi="Arial"/>
      <w:b/>
      <w:color w:val="auto"/>
      <w:sz w:val="24"/>
      <w:szCs w:val="20"/>
      <w:lang w:val="en-GB"/>
    </w:rPr>
  </w:style>
  <w:style w:type="paragraph" w:styleId="Heading2">
    <w:name w:val="heading 2"/>
    <w:aliases w:val="H2,h2"/>
    <w:basedOn w:val="Normal"/>
    <w:next w:val="Normal"/>
    <w:qFormat/>
    <w:pPr>
      <w:keepNext/>
      <w:ind w:right="284"/>
      <w:jc w:val="left"/>
      <w:outlineLvl w:val="1"/>
    </w:pPr>
    <w:rPr>
      <w:rFonts w:ascii="Arial" w:eastAsia="Times New Roman" w:hAnsi="Arial"/>
      <w:b/>
      <w:color w:val="auto"/>
      <w:sz w:val="24"/>
      <w:szCs w:val="20"/>
      <w:lang w:val="en-GB"/>
    </w:rPr>
  </w:style>
  <w:style w:type="paragraph" w:styleId="Heading3">
    <w:name w:val="heading 3"/>
    <w:aliases w:val="H3,h3"/>
    <w:basedOn w:val="Normal"/>
    <w:next w:val="Normal"/>
    <w:qFormat/>
    <w:pPr>
      <w:keepNext/>
      <w:jc w:val="left"/>
      <w:outlineLvl w:val="2"/>
    </w:pPr>
    <w:rPr>
      <w:rFonts w:eastAsia="Times New Roman"/>
      <w:color w:val="auto"/>
      <w:sz w:val="24"/>
      <w:szCs w:val="20"/>
      <w:lang w:val="en-GB"/>
    </w:rPr>
  </w:style>
  <w:style w:type="paragraph" w:styleId="Heading4">
    <w:name w:val="heading 4"/>
    <w:aliases w:val="h4"/>
    <w:basedOn w:val="Normal"/>
    <w:next w:val="Normal"/>
    <w:qFormat/>
    <w:pPr>
      <w:keepNext/>
      <w:tabs>
        <w:tab w:val="left" w:pos="2694"/>
      </w:tabs>
      <w:ind w:left="708"/>
      <w:jc w:val="left"/>
      <w:outlineLvl w:val="3"/>
    </w:pPr>
    <w:rPr>
      <w:rFonts w:ascii="Arial" w:eastAsia="Times New Roman" w:hAnsi="Arial"/>
      <w:b/>
      <w:color w:val="auto"/>
      <w:sz w:val="20"/>
      <w:szCs w:val="20"/>
      <w:lang w:val="en-GB"/>
    </w:rPr>
  </w:style>
  <w:style w:type="paragraph" w:styleId="Heading5">
    <w:name w:val="heading 5"/>
    <w:aliases w:val="h5"/>
    <w:basedOn w:val="Normal"/>
    <w:next w:val="Normal"/>
    <w:qFormat/>
    <w:pPr>
      <w:keepNext/>
      <w:jc w:val="center"/>
      <w:outlineLvl w:val="4"/>
    </w:pPr>
    <w:rPr>
      <w:rFonts w:ascii="Arial" w:eastAsia="Times New Roman" w:hAnsi="Arial"/>
      <w:b/>
      <w:color w:val="auto"/>
      <w:sz w:val="24"/>
      <w:szCs w:val="20"/>
      <w:lang w:val="en-GB"/>
    </w:rPr>
  </w:style>
  <w:style w:type="paragraph" w:styleId="Heading6">
    <w:name w:val="heading 6"/>
    <w:aliases w:val="h6"/>
    <w:basedOn w:val="Normal"/>
    <w:next w:val="Normal"/>
    <w:qFormat/>
    <w:pPr>
      <w:keepNext/>
      <w:jc w:val="left"/>
      <w:outlineLvl w:val="5"/>
    </w:pPr>
    <w:rPr>
      <w:rFonts w:ascii="Arial" w:eastAsia="Times New Roman" w:hAnsi="Arial"/>
      <w:b/>
      <w:color w:val="C0C0C0"/>
      <w:sz w:val="24"/>
      <w:szCs w:val="20"/>
      <w:lang w:val="en-GB"/>
    </w:rPr>
  </w:style>
  <w:style w:type="paragraph" w:styleId="Heading7">
    <w:name w:val="heading 7"/>
    <w:basedOn w:val="Normal"/>
    <w:next w:val="Normal"/>
    <w:qFormat/>
    <w:pPr>
      <w:keepNext/>
      <w:tabs>
        <w:tab w:val="left" w:pos="2694"/>
      </w:tabs>
      <w:ind w:left="708"/>
      <w:jc w:val="left"/>
      <w:outlineLvl w:val="6"/>
    </w:pPr>
    <w:rPr>
      <w:rFonts w:ascii="Arial" w:eastAsia="Times New Roman" w:hAnsi="Arial"/>
      <w:b/>
      <w:color w:val="0000FF"/>
      <w:sz w:val="20"/>
      <w:szCs w:val="20"/>
      <w:lang w:val="en-GB"/>
    </w:rPr>
  </w:style>
  <w:style w:type="paragraph" w:styleId="Heading8">
    <w:name w:val="heading 8"/>
    <w:basedOn w:val="Normal"/>
    <w:next w:val="Normal"/>
    <w:qFormat/>
    <w:pPr>
      <w:keepNext/>
      <w:spacing w:after="120"/>
      <w:ind w:left="1985" w:hanging="1985"/>
      <w:jc w:val="left"/>
      <w:outlineLvl w:val="7"/>
    </w:pPr>
    <w:rPr>
      <w:rFonts w:ascii="Arial" w:eastAsia="Times New Roman" w:hAnsi="Arial"/>
      <w:b/>
      <w:color w:val="auto"/>
      <w:sz w:val="22"/>
      <w:szCs w:val="20"/>
      <w:lang w:val="en-GB"/>
    </w:rPr>
  </w:style>
  <w:style w:type="paragraph" w:styleId="Heading9">
    <w:name w:val="heading 9"/>
    <w:basedOn w:val="Normal"/>
    <w:next w:val="Normal"/>
    <w:qFormat/>
    <w:pPr>
      <w:keepNext/>
      <w:spacing w:after="120"/>
      <w:ind w:left="1985" w:hanging="1985"/>
      <w:jc w:val="left"/>
      <w:outlineLvl w:val="8"/>
    </w:pPr>
    <w:rPr>
      <w:rFonts w:ascii="Arial" w:eastAsia="Times New Roman" w:hAnsi="Arial"/>
      <w:b/>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left"/>
    </w:pPr>
    <w:rPr>
      <w:rFonts w:eastAsia="Times New Roman"/>
      <w:color w:val="auto"/>
      <w:sz w:val="20"/>
      <w:szCs w:val="20"/>
      <w:lang w:val="en-GB"/>
    </w:rPr>
  </w:style>
  <w:style w:type="paragraph" w:styleId="Footer">
    <w:name w:val="footer"/>
    <w:basedOn w:val="Normal"/>
    <w:pPr>
      <w:tabs>
        <w:tab w:val="center" w:pos="4153"/>
        <w:tab w:val="right" w:pos="8306"/>
      </w:tabs>
      <w:jc w:val="left"/>
    </w:pPr>
    <w:rPr>
      <w:rFonts w:eastAsia="Times New Roman"/>
      <w:color w:val="auto"/>
      <w:sz w:val="20"/>
      <w:szCs w:val="20"/>
      <w:lang w:val="en-GB"/>
    </w:rPr>
  </w:style>
  <w:style w:type="paragraph" w:styleId="CommentText">
    <w:name w:val="annotation text"/>
    <w:basedOn w:val="Normal"/>
    <w:semiHidden/>
    <w:pPr>
      <w:tabs>
        <w:tab w:val="left" w:pos="1418"/>
        <w:tab w:val="left" w:pos="4678"/>
        <w:tab w:val="left" w:pos="5954"/>
        <w:tab w:val="left" w:pos="7088"/>
      </w:tabs>
      <w:spacing w:after="240"/>
    </w:pPr>
    <w:rPr>
      <w:rFonts w:ascii="Arial" w:eastAsia="Times New Roman" w:hAnsi="Arial"/>
      <w:color w:val="auto"/>
      <w:sz w:val="20"/>
      <w:szCs w:val="20"/>
      <w:lang w:val="en-GB"/>
    </w:rPr>
  </w:style>
  <w:style w:type="character" w:styleId="PageNumber">
    <w:name w:val="page number"/>
    <w:basedOn w:val="DefaultParagraphFont"/>
  </w:style>
  <w:style w:type="paragraph" w:customStyle="1" w:styleId="B1">
    <w:name w:val="B1"/>
    <w:basedOn w:val="Normal"/>
    <w:pPr>
      <w:ind w:left="567" w:hanging="567"/>
    </w:pPr>
    <w:rPr>
      <w:rFonts w:ascii="Arial" w:eastAsia="Times New Roman" w:hAnsi="Arial"/>
      <w:color w:val="auto"/>
      <w:sz w:val="20"/>
      <w:szCs w:val="20"/>
      <w:lang w:val="en-GB"/>
    </w:rPr>
  </w:style>
  <w:style w:type="paragraph" w:customStyle="1" w:styleId="00BodyText">
    <w:name w:val="00 BodyText"/>
    <w:basedOn w:val="Normal"/>
    <w:pPr>
      <w:spacing w:after="220"/>
      <w:jc w:val="left"/>
    </w:pPr>
    <w:rPr>
      <w:rFonts w:ascii="Arial" w:eastAsia="Times New Roman" w:hAnsi="Arial"/>
      <w:color w:val="auto"/>
      <w:sz w:val="22"/>
      <w:szCs w:val="20"/>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pPr>
    <w:rPr>
      <w:rFonts w:ascii="Arial" w:eastAsia="Times New Roman" w:hAnsi="Arial"/>
      <w:b/>
      <w:color w:val="0000FF"/>
      <w:sz w:val="20"/>
      <w:szCs w:val="20"/>
      <w:u w:val="single"/>
      <w:lang w:val="en-GB"/>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Times New Roman" w:hAnsi="Arial"/>
      <w:b/>
      <w:color w:val="FF0000"/>
      <w:sz w:val="20"/>
      <w:szCs w:val="20"/>
      <w:lang w:val="en-GB"/>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pPr>
      <w:jc w:val="left"/>
    </w:pPr>
    <w:rPr>
      <w:rFonts w:ascii="Arial" w:eastAsia="Times New Roman" w:hAnsi="Arial" w:cs="Arial"/>
      <w:color w:val="FF0000"/>
      <w:sz w:val="20"/>
      <w:szCs w:val="20"/>
      <w:lang w:val="en-GB"/>
    </w:rPr>
  </w:style>
  <w:style w:type="paragraph" w:styleId="BalloonText">
    <w:name w:val="Balloon Text"/>
    <w:basedOn w:val="Normal"/>
    <w:semiHidden/>
    <w:rsid w:val="00ED3709"/>
    <w:pPr>
      <w:jc w:val="left"/>
    </w:pPr>
    <w:rPr>
      <w:rFonts w:ascii="Tahoma" w:eastAsia="Times New Roman" w:hAnsi="Tahoma" w:cs="Tahoma"/>
      <w:color w:val="auto"/>
      <w:sz w:val="16"/>
      <w:szCs w:val="16"/>
      <w:lang w:val="en-GB"/>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7D02D7"/>
    <w:pPr>
      <w:ind w:leftChars="400" w:left="840" w:hanging="720"/>
      <w:jc w:val="left"/>
    </w:pPr>
    <w:rPr>
      <w:rFonts w:ascii="Times" w:eastAsia="Batang" w:hAnsi="Times"/>
      <w:color w:val="auto"/>
      <w:sz w:val="20"/>
      <w:szCs w:val="24"/>
      <w:lang w:val="en-GB" w:eastAsia="x-none"/>
    </w:rPr>
  </w:style>
  <w:style w:type="character" w:customStyle="1" w:styleId="ListParagraphChar">
    <w:name w:val="List Paragraph Char"/>
    <w:aliases w:val="- Bullets Char,목록 단락 Char,リスト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jc w:val="left"/>
    </w:pPr>
    <w:rPr>
      <w:rFonts w:ascii="Arial" w:eastAsia="MS Mincho" w:hAnsi="Arial"/>
      <w:color w:val="auto"/>
      <w:sz w:val="20"/>
      <w:szCs w:val="24"/>
      <w:lang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1682584827">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32117-0D90-4898-B031-347F89C8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394</Words>
  <Characters>2252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Mattias Frenne</dc:creator>
  <cp:keywords>CTPClassification=CTP_PUBLIC:VisualMarkings=, CTPClassification=CTP_NT</cp:keywords>
  <dc:description/>
  <cp:lastModifiedBy>Mattias Frenne</cp:lastModifiedBy>
  <cp:revision>9</cp:revision>
  <cp:lastPrinted>2002-04-23T16:10:00Z</cp:lastPrinted>
  <dcterms:created xsi:type="dcterms:W3CDTF">2018-11-02T07:45:00Z</dcterms:created>
  <dcterms:modified xsi:type="dcterms:W3CDTF">2018-11-02T16:47:00Z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0fbc387d-d5dc-4951-99a6-d082770d1dc9</vt:lpwstr>
  </property>
  <property fmtid="{D5CDD505-2E9C-101B-9397-08002B2CF9AE}" pid="3" name="CTP_TimeStamp">
    <vt:lpwstr>2018-09-29 01:07:45Z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